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57D" w:rsidRPr="00DA1C25" w:rsidRDefault="00081FE4" w:rsidP="0039657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Soberana Sans" w:hAnsi="Soberana Sans"/>
          <w:b/>
          <w:sz w:val="28"/>
          <w:szCs w:val="26"/>
        </w:rPr>
      </w:pPr>
      <w:r w:rsidRPr="00DA1C25">
        <w:rPr>
          <w:rFonts w:ascii="Soberana Sans" w:hAnsi="Soberana Sans"/>
          <w:b/>
          <w:sz w:val="28"/>
          <w:szCs w:val="26"/>
        </w:rPr>
        <w:t>MONITOREO Y CONTROL DE ESPECIES EXÓTICAS INVASORAS</w:t>
      </w:r>
    </w:p>
    <w:p w:rsidR="0039657D" w:rsidRPr="00DA1C25" w:rsidRDefault="0039657D" w:rsidP="0039657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Soberana Sans" w:hAnsi="Soberana Sans"/>
          <w:sz w:val="26"/>
          <w:szCs w:val="26"/>
        </w:rPr>
      </w:pPr>
    </w:p>
    <w:p w:rsidR="0039657D" w:rsidRPr="00DA1C25" w:rsidRDefault="0039657D" w:rsidP="0039657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Soberana Sans" w:hAnsi="Soberana Sans"/>
          <w:b/>
          <w:sz w:val="26"/>
          <w:szCs w:val="26"/>
        </w:rPr>
      </w:pPr>
      <w:r w:rsidRPr="00DA1C25">
        <w:rPr>
          <w:rFonts w:ascii="Soberana Sans" w:hAnsi="Soberana Sans"/>
          <w:b/>
          <w:sz w:val="26"/>
          <w:szCs w:val="26"/>
        </w:rPr>
        <w:t>INTRODUCCIÓN:</w:t>
      </w:r>
    </w:p>
    <w:p w:rsidR="0039657D" w:rsidRPr="00DA1C25" w:rsidRDefault="0039657D" w:rsidP="0039657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Soberana Sans" w:hAnsi="Soberana Sans"/>
          <w:sz w:val="26"/>
          <w:szCs w:val="26"/>
        </w:rPr>
      </w:pPr>
    </w:p>
    <w:p w:rsidR="00081FE4" w:rsidRPr="00DA1C25" w:rsidRDefault="00081FE4" w:rsidP="00081FE4">
      <w:pPr>
        <w:pStyle w:val="Prrafodelista"/>
        <w:ind w:left="0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 xml:space="preserve">Las afectaciones por plagas y enfermedades forestales, son de las principales causas de daño a los ecosistemas forestales y tienen su origen en un efecto combinado de incremento en las poblaciones de los insectos y patógenos, con una disminución de la resistencia natural de los bosques al ataque de plagas; y en ocasiones con el ingreso y diseminación de especies exóticas invasoras. </w:t>
      </w:r>
    </w:p>
    <w:p w:rsidR="00081FE4" w:rsidRPr="00DA1C25" w:rsidRDefault="00081FE4" w:rsidP="0039657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Soberana Sans" w:hAnsi="Soberana Sans"/>
          <w:sz w:val="26"/>
          <w:szCs w:val="26"/>
        </w:rPr>
      </w:pPr>
    </w:p>
    <w:p w:rsidR="00081FE4" w:rsidRPr="00DA1C25" w:rsidRDefault="00081FE4" w:rsidP="00081FE4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t xml:space="preserve">El problema principal que atiende el Programa de Sanidad, son las afectaciones  por plagas y enfermedades forestales. Estas afectaciones son causadas por tres factores principales: 1) Disminución en la resistencia de los bosques, 2) Incremento en las poblaciones de plagas y enfermedades y 3) La diseminación de especies exóticas invasoras. </w:t>
      </w:r>
    </w:p>
    <w:p w:rsidR="00081FE4" w:rsidRPr="00DA1C25" w:rsidRDefault="00081FE4" w:rsidP="00081FE4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t>La diseminación de especies exóticas invasoras tiene su origen primero, en el ingreso a territorio nacional y segundo, en el establecimiento e incremento en los daños que ocasionan.</w:t>
      </w:r>
    </w:p>
    <w:p w:rsidR="00081FE4" w:rsidRPr="00DA1C25" w:rsidRDefault="00081FE4" w:rsidP="00081FE4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t xml:space="preserve">El establecimiento del objetivo del Programa </w:t>
      </w:r>
      <w:r w:rsidR="00B01068" w:rsidRPr="00DA1C25">
        <w:rPr>
          <w:rFonts w:eastAsia="Times New Roman" w:cs="Times New Roman"/>
          <w:sz w:val="24"/>
          <w:szCs w:val="24"/>
        </w:rPr>
        <w:t xml:space="preserve">Nacional de Sanidad Forestal 2013-2018 </w:t>
      </w:r>
      <w:r w:rsidRPr="00DA1C25">
        <w:rPr>
          <w:rFonts w:eastAsia="Times New Roman" w:cs="Times New Roman"/>
          <w:sz w:val="24"/>
          <w:szCs w:val="24"/>
        </w:rPr>
        <w:t>se basa en 3 elementos fundamentales: 1) el monitoreo sobre el riesgo de expansión de daños, 2) la supresión de brotes de plagas y  enfermedades prioritarios y 3)  la detección, monitoreo y control de especies exóticas invasoras.</w:t>
      </w:r>
      <w:r w:rsidR="00B01068" w:rsidRPr="00DA1C25">
        <w:rPr>
          <w:rFonts w:eastAsia="Times New Roman" w:cs="Times New Roman"/>
          <w:sz w:val="24"/>
          <w:szCs w:val="24"/>
        </w:rPr>
        <w:t xml:space="preserve"> </w:t>
      </w:r>
    </w:p>
    <w:p w:rsidR="00B01068" w:rsidRPr="00DA1C25" w:rsidRDefault="00330891" w:rsidP="00081FE4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t>En seguimiento al Programa Nacional de Sanidad Forestal (2013-2018), l</w:t>
      </w:r>
      <w:r w:rsidR="00B01068" w:rsidRPr="00DA1C25">
        <w:rPr>
          <w:rFonts w:eastAsia="Times New Roman" w:cs="Times New Roman"/>
          <w:sz w:val="24"/>
          <w:szCs w:val="24"/>
        </w:rPr>
        <w:t>as especies exóticas invasoras son atendidas por la Gerencia de Sanidad de la CONAFOR dentro de una estrategia enfocada a evitar la diseminación con tres líneas específicas de acción:</w:t>
      </w: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4503"/>
        <w:gridCol w:w="4394"/>
      </w:tblGrid>
      <w:tr w:rsidR="00DA1C25" w:rsidRPr="00DA1C25" w:rsidTr="007543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1068" w:rsidRPr="00DA1C25" w:rsidRDefault="00B01068" w:rsidP="007543BE">
            <w:pPr>
              <w:tabs>
                <w:tab w:val="left" w:pos="2127"/>
              </w:tabs>
              <w:jc w:val="center"/>
              <w:rPr>
                <w:b w:val="0"/>
                <w:bCs w:val="0"/>
                <w:color w:val="auto"/>
              </w:rPr>
            </w:pPr>
            <w:r w:rsidRPr="00DA1C25">
              <w:rPr>
                <w:color w:val="auto"/>
              </w:rPr>
              <w:t>Estrategia</w:t>
            </w:r>
          </w:p>
        </w:tc>
        <w:tc>
          <w:tcPr>
            <w:tcW w:w="4394" w:type="dxa"/>
          </w:tcPr>
          <w:p w:rsidR="00B01068" w:rsidRPr="00DA1C25" w:rsidRDefault="00B01068" w:rsidP="007543BE">
            <w:pPr>
              <w:tabs>
                <w:tab w:val="left" w:pos="21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DA1C25">
              <w:rPr>
                <w:color w:val="auto"/>
              </w:rPr>
              <w:t>Líneas de Acción</w:t>
            </w:r>
          </w:p>
        </w:tc>
      </w:tr>
      <w:tr w:rsidR="00DA1C25" w:rsidRPr="00DA1C25" w:rsidTr="00754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vMerge w:val="restart"/>
          </w:tcPr>
          <w:p w:rsidR="007543BE" w:rsidRPr="00DA1C25" w:rsidRDefault="007543BE" w:rsidP="007543BE">
            <w:pPr>
              <w:tabs>
                <w:tab w:val="left" w:pos="2127"/>
              </w:tabs>
              <w:jc w:val="center"/>
            </w:pPr>
          </w:p>
          <w:p w:rsidR="007543BE" w:rsidRPr="00DA1C25" w:rsidRDefault="007543BE" w:rsidP="007543BE">
            <w:pPr>
              <w:tabs>
                <w:tab w:val="left" w:pos="2127"/>
              </w:tabs>
              <w:jc w:val="center"/>
            </w:pPr>
          </w:p>
          <w:p w:rsidR="007543BE" w:rsidRPr="00DA1C25" w:rsidRDefault="007543BE" w:rsidP="007543BE">
            <w:pPr>
              <w:tabs>
                <w:tab w:val="left" w:pos="2127"/>
              </w:tabs>
              <w:jc w:val="center"/>
            </w:pPr>
          </w:p>
          <w:p w:rsidR="007543BE" w:rsidRPr="00DA1C25" w:rsidRDefault="007543BE" w:rsidP="007543BE">
            <w:pPr>
              <w:tabs>
                <w:tab w:val="left" w:pos="2127"/>
              </w:tabs>
              <w:jc w:val="center"/>
            </w:pPr>
          </w:p>
          <w:p w:rsidR="007543BE" w:rsidRPr="00DA1C25" w:rsidRDefault="007543BE" w:rsidP="007543BE">
            <w:pPr>
              <w:tabs>
                <w:tab w:val="left" w:pos="2127"/>
              </w:tabs>
              <w:jc w:val="center"/>
            </w:pPr>
          </w:p>
          <w:p w:rsidR="007543BE" w:rsidRPr="00DA1C25" w:rsidRDefault="007543BE" w:rsidP="007543BE">
            <w:pPr>
              <w:tabs>
                <w:tab w:val="left" w:pos="2127"/>
              </w:tabs>
              <w:jc w:val="center"/>
            </w:pPr>
          </w:p>
          <w:p w:rsidR="00B01068" w:rsidRPr="00DA1C25" w:rsidRDefault="00B01068" w:rsidP="007543BE">
            <w:pPr>
              <w:tabs>
                <w:tab w:val="left" w:pos="2127"/>
              </w:tabs>
              <w:jc w:val="center"/>
              <w:rPr>
                <w:bCs w:val="0"/>
              </w:rPr>
            </w:pPr>
            <w:r w:rsidRPr="00DA1C25">
              <w:t>Evitar la diseminación de plagas y enfermedades exóticas invasoras.</w:t>
            </w:r>
          </w:p>
        </w:tc>
        <w:tc>
          <w:tcPr>
            <w:tcW w:w="4394" w:type="dxa"/>
          </w:tcPr>
          <w:p w:rsidR="00B01068" w:rsidRPr="00DA1C25" w:rsidRDefault="00B01068" w:rsidP="00B01068">
            <w:pPr>
              <w:pStyle w:val="Prrafodelista"/>
              <w:numPr>
                <w:ilvl w:val="0"/>
                <w:numId w:val="5"/>
              </w:numPr>
              <w:tabs>
                <w:tab w:val="left" w:pos="212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DA1C25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Implementar el esquema de reporte de nuevos ingreso y monitoreo de las especies exóticas invasoras establecidas.</w:t>
            </w:r>
          </w:p>
        </w:tc>
      </w:tr>
      <w:tr w:rsidR="00DA1C25" w:rsidRPr="00DA1C25" w:rsidTr="007543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vMerge/>
          </w:tcPr>
          <w:p w:rsidR="00B01068" w:rsidRPr="00DA1C25" w:rsidRDefault="00B01068" w:rsidP="00B658D1">
            <w:pPr>
              <w:tabs>
                <w:tab w:val="left" w:pos="2127"/>
              </w:tabs>
              <w:rPr>
                <w:bCs w:val="0"/>
              </w:rPr>
            </w:pPr>
          </w:p>
        </w:tc>
        <w:tc>
          <w:tcPr>
            <w:tcW w:w="4394" w:type="dxa"/>
          </w:tcPr>
          <w:p w:rsidR="00B01068" w:rsidRPr="00DA1C25" w:rsidRDefault="00B01068" w:rsidP="00B01068">
            <w:pPr>
              <w:pStyle w:val="Prrafodelista"/>
              <w:numPr>
                <w:ilvl w:val="0"/>
                <w:numId w:val="5"/>
              </w:numPr>
              <w:tabs>
                <w:tab w:val="left" w:pos="21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DA1C25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Implementar las acciones de control  para evitar la diseminación de especies exóticas invasoras establecidas en el territorio nacional.</w:t>
            </w:r>
          </w:p>
        </w:tc>
      </w:tr>
      <w:tr w:rsidR="00DA1C25" w:rsidRPr="00DA1C25" w:rsidTr="00754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vMerge/>
          </w:tcPr>
          <w:p w:rsidR="00B01068" w:rsidRPr="00DA1C25" w:rsidRDefault="00B01068" w:rsidP="00B658D1">
            <w:pPr>
              <w:tabs>
                <w:tab w:val="left" w:pos="2127"/>
              </w:tabs>
              <w:rPr>
                <w:bCs w:val="0"/>
              </w:rPr>
            </w:pPr>
          </w:p>
        </w:tc>
        <w:tc>
          <w:tcPr>
            <w:tcW w:w="4394" w:type="dxa"/>
          </w:tcPr>
          <w:p w:rsidR="00B01068" w:rsidRPr="00DA1C25" w:rsidRDefault="00B01068" w:rsidP="00B01068">
            <w:pPr>
              <w:pStyle w:val="Prrafodelista"/>
              <w:numPr>
                <w:ilvl w:val="0"/>
                <w:numId w:val="5"/>
              </w:numPr>
              <w:tabs>
                <w:tab w:val="left" w:pos="212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00DA1C25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Implementar un esquema de difusión y capacitación a dueños y poseedores de terrenos y plantaciones forestales para la detección temprana de plagas y enfermedades exóticas.</w:t>
            </w:r>
          </w:p>
        </w:tc>
      </w:tr>
    </w:tbl>
    <w:p w:rsidR="0039657D" w:rsidRPr="00DA1C25" w:rsidRDefault="0039657D" w:rsidP="007E74D2">
      <w:pPr>
        <w:rPr>
          <w:rFonts w:eastAsia="Times New Roman" w:cs="Times New Roman"/>
          <w:b/>
          <w:sz w:val="24"/>
          <w:szCs w:val="24"/>
        </w:rPr>
      </w:pPr>
      <w:r w:rsidRPr="00DA1C25">
        <w:rPr>
          <w:rFonts w:eastAsia="Times New Roman" w:cs="Times New Roman"/>
          <w:b/>
          <w:sz w:val="24"/>
          <w:szCs w:val="24"/>
        </w:rPr>
        <w:lastRenderedPageBreak/>
        <w:t>OBJETIVO</w:t>
      </w:r>
      <w:r w:rsidR="00F72F1F" w:rsidRPr="00DA1C25">
        <w:rPr>
          <w:rFonts w:eastAsia="Times New Roman" w:cs="Times New Roman"/>
          <w:b/>
          <w:sz w:val="24"/>
          <w:szCs w:val="24"/>
        </w:rPr>
        <w:t>S</w:t>
      </w:r>
      <w:r w:rsidRPr="00DA1C25">
        <w:rPr>
          <w:rFonts w:eastAsia="Times New Roman" w:cs="Times New Roman"/>
          <w:b/>
          <w:sz w:val="24"/>
          <w:szCs w:val="24"/>
        </w:rPr>
        <w:t>:</w:t>
      </w:r>
    </w:p>
    <w:p w:rsidR="00B455BE" w:rsidRPr="00DA1C25" w:rsidRDefault="00B455BE" w:rsidP="00B455BE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Soberana Sans" w:hAnsi="Soberana Sans"/>
          <w:b/>
          <w:sz w:val="26"/>
          <w:szCs w:val="26"/>
        </w:rPr>
      </w:pPr>
    </w:p>
    <w:p w:rsidR="00F72F1F" w:rsidRPr="00DA1C25" w:rsidRDefault="00F72F1F" w:rsidP="00F72F1F">
      <w:pPr>
        <w:pStyle w:val="Prrafodelista"/>
        <w:numPr>
          <w:ilvl w:val="0"/>
          <w:numId w:val="6"/>
        </w:numPr>
        <w:tabs>
          <w:tab w:val="clear" w:pos="360"/>
          <w:tab w:val="clear" w:pos="9360"/>
        </w:tabs>
        <w:spacing w:after="200" w:line="276" w:lineRule="auto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Prevenir, detectar y reducir el riesgo de introducción, establecimiento y dispersión de especies invasoras en el sector forestal.</w:t>
      </w:r>
    </w:p>
    <w:p w:rsidR="00F72F1F" w:rsidRPr="00DA1C25" w:rsidRDefault="00F72F1F" w:rsidP="00F72F1F">
      <w:pPr>
        <w:pStyle w:val="Prrafodelista"/>
        <w:numPr>
          <w:ilvl w:val="0"/>
          <w:numId w:val="6"/>
        </w:numPr>
        <w:tabs>
          <w:tab w:val="clear" w:pos="360"/>
          <w:tab w:val="clear" w:pos="9360"/>
        </w:tabs>
        <w:spacing w:after="200" w:line="276" w:lineRule="auto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Establecer programas de control y erradicación de poblaciones de especies exóticas  invasoras que minimicen o eliminen sus impactos negativos y favorezcan la restauración y conservación de los ecosistemas.</w:t>
      </w:r>
    </w:p>
    <w:p w:rsidR="00F72F1F" w:rsidRPr="00DA1C25" w:rsidRDefault="00F72F1F" w:rsidP="00F72F1F">
      <w:pPr>
        <w:pStyle w:val="Prrafodelista"/>
        <w:numPr>
          <w:ilvl w:val="0"/>
          <w:numId w:val="6"/>
        </w:numPr>
        <w:tabs>
          <w:tab w:val="clear" w:pos="360"/>
          <w:tab w:val="clear" w:pos="9360"/>
        </w:tabs>
        <w:spacing w:after="200" w:line="276" w:lineRule="auto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Informar oportuna y eficazmente a la sociedad para que asuma responsablemente las acciones a su alcance en la prevención, control y erradicación de las especies exóticas invasoras.</w:t>
      </w:r>
    </w:p>
    <w:p w:rsidR="00F72F1F" w:rsidRPr="00DA1C25" w:rsidRDefault="00F72F1F" w:rsidP="00F72F1F">
      <w:pPr>
        <w:pStyle w:val="Prrafodelista"/>
        <w:tabs>
          <w:tab w:val="clear" w:pos="360"/>
          <w:tab w:val="clear" w:pos="9360"/>
        </w:tabs>
        <w:spacing w:after="200" w:line="276" w:lineRule="auto"/>
        <w:ind w:left="1080"/>
        <w:rPr>
          <w:rFonts w:asciiTheme="minorHAnsi" w:hAnsiTheme="minorHAnsi"/>
          <w:color w:val="auto"/>
          <w:sz w:val="24"/>
          <w:szCs w:val="24"/>
        </w:rPr>
      </w:pPr>
    </w:p>
    <w:p w:rsidR="00330891" w:rsidRPr="00DA1C25" w:rsidRDefault="00330891" w:rsidP="00330891">
      <w:pPr>
        <w:rPr>
          <w:rFonts w:eastAsia="Times New Roman" w:cs="Times New Roman"/>
          <w:b/>
          <w:sz w:val="24"/>
          <w:szCs w:val="24"/>
        </w:rPr>
      </w:pPr>
      <w:r w:rsidRPr="00DA1C25">
        <w:rPr>
          <w:rFonts w:eastAsia="Times New Roman" w:cs="Times New Roman"/>
          <w:b/>
          <w:sz w:val="24"/>
          <w:szCs w:val="24"/>
        </w:rPr>
        <w:t>LINEAS TRANSVERSALES</w:t>
      </w:r>
    </w:p>
    <w:p w:rsidR="00330891" w:rsidRPr="00DA1C25" w:rsidRDefault="00330891" w:rsidP="00330891">
      <w:pPr>
        <w:pStyle w:val="Prrafodelista"/>
        <w:numPr>
          <w:ilvl w:val="0"/>
          <w:numId w:val="7"/>
        </w:numPr>
        <w:tabs>
          <w:tab w:val="clear" w:pos="360"/>
          <w:tab w:val="clear" w:pos="9360"/>
        </w:tabs>
        <w:spacing w:after="200" w:line="276" w:lineRule="auto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Desarrollo de capacidades. Las actividades que se lleven a cabo deben estructurarse alrededor de la creación de capacidades científicas, técnicas, humanas e institucionales que fortalezcan las competencias del país en materia de especies exóticas e invasoras que afecten al sector forestal.</w:t>
      </w:r>
    </w:p>
    <w:p w:rsidR="00330891" w:rsidRPr="00DA1C25" w:rsidRDefault="00330891" w:rsidP="00330891">
      <w:pPr>
        <w:pStyle w:val="Prrafodelista"/>
        <w:rPr>
          <w:rFonts w:asciiTheme="minorHAnsi" w:hAnsiTheme="minorHAnsi"/>
          <w:color w:val="auto"/>
          <w:sz w:val="24"/>
          <w:szCs w:val="24"/>
        </w:rPr>
      </w:pPr>
    </w:p>
    <w:p w:rsidR="00330891" w:rsidRPr="00DA1C25" w:rsidRDefault="00330891" w:rsidP="00330891">
      <w:pPr>
        <w:pStyle w:val="Prrafodelista"/>
        <w:numPr>
          <w:ilvl w:val="0"/>
          <w:numId w:val="7"/>
        </w:numPr>
        <w:tabs>
          <w:tab w:val="clear" w:pos="360"/>
          <w:tab w:val="clear" w:pos="9360"/>
        </w:tabs>
        <w:spacing w:after="200" w:line="276" w:lineRule="auto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 xml:space="preserve">Coordinación. Definir y establecer protocolos y acuerdos de coordinación y cooperación </w:t>
      </w:r>
      <w:proofErr w:type="spellStart"/>
      <w:r w:rsidRPr="00DA1C25">
        <w:rPr>
          <w:rFonts w:asciiTheme="minorHAnsi" w:hAnsiTheme="minorHAnsi"/>
          <w:i/>
          <w:color w:val="auto"/>
          <w:sz w:val="24"/>
          <w:szCs w:val="24"/>
        </w:rPr>
        <w:t>intra</w:t>
      </w:r>
      <w:proofErr w:type="spellEnd"/>
      <w:r w:rsidRPr="00DA1C25">
        <w:rPr>
          <w:rFonts w:asciiTheme="minorHAnsi" w:hAnsiTheme="minorHAnsi"/>
          <w:color w:val="auto"/>
          <w:sz w:val="24"/>
          <w:szCs w:val="24"/>
        </w:rPr>
        <w:t xml:space="preserve"> e interinstitucional que involucren las actividades de monitoreo, detección y control de especies exóticas e invasoras que afecten el sector forestal.</w:t>
      </w:r>
    </w:p>
    <w:p w:rsidR="00330891" w:rsidRPr="00DA1C25" w:rsidRDefault="00330891" w:rsidP="00330891">
      <w:pPr>
        <w:pStyle w:val="Prrafodelista"/>
        <w:rPr>
          <w:rFonts w:asciiTheme="minorHAnsi" w:hAnsiTheme="minorHAnsi"/>
          <w:color w:val="auto"/>
          <w:sz w:val="24"/>
          <w:szCs w:val="24"/>
        </w:rPr>
      </w:pPr>
    </w:p>
    <w:p w:rsidR="00330891" w:rsidRPr="00DA1C25" w:rsidRDefault="00330891" w:rsidP="00330891">
      <w:pPr>
        <w:pStyle w:val="Prrafodelista"/>
        <w:numPr>
          <w:ilvl w:val="0"/>
          <w:numId w:val="7"/>
        </w:numPr>
        <w:tabs>
          <w:tab w:val="clear" w:pos="360"/>
          <w:tab w:val="clear" w:pos="9360"/>
        </w:tabs>
        <w:spacing w:after="200" w:line="276" w:lineRule="auto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Divulgación y comunicación. Informar oportunamente a las autoridades con datos actualizados, confiables y accesibles que permitan entender el contexto de la problemática de las especies exóticas e invasoras en el sector forestal.</w:t>
      </w:r>
    </w:p>
    <w:p w:rsidR="00330891" w:rsidRPr="00DA1C25" w:rsidRDefault="00330891" w:rsidP="00330891">
      <w:pPr>
        <w:pStyle w:val="Prrafodelista"/>
        <w:rPr>
          <w:rFonts w:asciiTheme="minorHAnsi" w:hAnsiTheme="minorHAnsi"/>
          <w:color w:val="auto"/>
          <w:sz w:val="24"/>
          <w:szCs w:val="24"/>
        </w:rPr>
      </w:pPr>
    </w:p>
    <w:p w:rsidR="00330891" w:rsidRPr="00DA1C25" w:rsidRDefault="00330891" w:rsidP="00330891">
      <w:pPr>
        <w:pStyle w:val="Prrafodelista"/>
        <w:numPr>
          <w:ilvl w:val="0"/>
          <w:numId w:val="7"/>
        </w:numPr>
        <w:tabs>
          <w:tab w:val="clear" w:pos="360"/>
          <w:tab w:val="clear" w:pos="9360"/>
        </w:tabs>
        <w:spacing w:after="200" w:line="276" w:lineRule="auto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Conocimiento e información. La toma de decisiones y las acciones a realizar deben basarse en información científica de la más alta calidad. Es importante fortalecer los mecanismos de obtención, intercambio, manejo y acceso de información nacional; así como generar conocimiento a partir de la investigación científica para un mejor entendimiento sobre las invasiones biológicas, los impactos que ocasionan y los procesos de restauración. Este rubro impulsa la construcción de mejores prácticas productivas fomentando el uso de especies nativas.</w:t>
      </w:r>
    </w:p>
    <w:p w:rsidR="0039657D" w:rsidRPr="00DA1C25" w:rsidRDefault="0039657D" w:rsidP="0039657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Soberana Sans" w:hAnsi="Soberana Sans"/>
          <w:sz w:val="26"/>
          <w:szCs w:val="26"/>
        </w:rPr>
      </w:pPr>
    </w:p>
    <w:p w:rsidR="0039657D" w:rsidRPr="00DA1C25" w:rsidRDefault="0039657D" w:rsidP="0039657D">
      <w:pPr>
        <w:ind w:left="708"/>
        <w:jc w:val="center"/>
        <w:rPr>
          <w:rFonts w:ascii="Soberana Sans" w:hAnsi="Soberana Sans"/>
          <w:b/>
          <w:sz w:val="26"/>
          <w:szCs w:val="26"/>
        </w:rPr>
      </w:pPr>
    </w:p>
    <w:p w:rsidR="00B455BE" w:rsidRPr="00DA1C25" w:rsidRDefault="00B455BE" w:rsidP="0039657D">
      <w:pPr>
        <w:ind w:left="708"/>
        <w:jc w:val="center"/>
        <w:rPr>
          <w:rFonts w:ascii="Soberana Sans" w:hAnsi="Soberana Sans"/>
          <w:b/>
          <w:sz w:val="26"/>
          <w:szCs w:val="26"/>
        </w:rPr>
      </w:pPr>
    </w:p>
    <w:p w:rsidR="007E74D2" w:rsidRPr="00DA1C25" w:rsidRDefault="007E74D2" w:rsidP="0039657D">
      <w:pPr>
        <w:ind w:left="708"/>
        <w:jc w:val="center"/>
        <w:rPr>
          <w:rFonts w:ascii="Soberana Sans" w:hAnsi="Soberana Sans"/>
          <w:b/>
          <w:sz w:val="26"/>
          <w:szCs w:val="26"/>
        </w:rPr>
      </w:pPr>
    </w:p>
    <w:p w:rsidR="00C81518" w:rsidRPr="00DA1C25" w:rsidRDefault="00C81518" w:rsidP="00C81518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lastRenderedPageBreak/>
        <w:t xml:space="preserve">Las actividades preventivas involucran el monitoreo de la especie objetivo. Esta actividad se </w:t>
      </w:r>
      <w:r w:rsidRPr="00DA1C25">
        <w:rPr>
          <w:rFonts w:eastAsia="Times New Roman" w:cs="Times New Roman"/>
          <w:sz w:val="24"/>
          <w:szCs w:val="24"/>
        </w:rPr>
        <w:tab/>
        <w:t>basa en la actividad de Identificación de amenazas potenciales del programa de monitoreo, consistente con la base de datos de especies invasoras junto con sus hospederos presentes/potenciales que afectan al sector forestal mexicano. Para el desarrollo de este punto, se cuenta con una red de colaboración interinstitucional donde la SEMARNAT, la CONABIO y el SENASICA participan Activamente.</w:t>
      </w:r>
    </w:p>
    <w:p w:rsidR="00C81518" w:rsidRPr="00DA1C25" w:rsidRDefault="00C81518" w:rsidP="00C81518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t xml:space="preserve"> El programa de monitoreo implica la toma de muestras de organismos y cuya identificación está a cargo tanto del Laboratorio de Análisis y Referencia  en Sanidad Forestal de la SEMARNAT como del Centro Nacional de Referencia Fitosanitaria del SENASICA.</w:t>
      </w:r>
    </w:p>
    <w:p w:rsidR="00C81518" w:rsidRPr="00DA1C25" w:rsidRDefault="00C81518" w:rsidP="00C81518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t>La periodicidad del monitoreo depende de:</w:t>
      </w:r>
    </w:p>
    <w:p w:rsidR="00C81518" w:rsidRPr="00DA1C25" w:rsidRDefault="00C81518" w:rsidP="00C81518">
      <w:pPr>
        <w:pStyle w:val="Prrafodelista"/>
        <w:ind w:left="1425"/>
        <w:rPr>
          <w:rFonts w:asciiTheme="minorHAnsi" w:hAnsiTheme="minorHAnsi"/>
          <w:color w:val="auto"/>
          <w:sz w:val="24"/>
          <w:szCs w:val="24"/>
        </w:rPr>
      </w:pPr>
    </w:p>
    <w:p w:rsidR="00C81518" w:rsidRPr="00DA1C25" w:rsidRDefault="00C81518" w:rsidP="00C81518">
      <w:pPr>
        <w:pStyle w:val="Prrafodelista"/>
        <w:numPr>
          <w:ilvl w:val="0"/>
          <w:numId w:val="8"/>
        </w:numPr>
        <w:tabs>
          <w:tab w:val="clear" w:pos="360"/>
          <w:tab w:val="clear" w:pos="9360"/>
        </w:tabs>
        <w:spacing w:after="200" w:line="276" w:lineRule="auto"/>
        <w:jc w:val="left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 xml:space="preserve">Si el organismo bajo estudio se encuentra presente en el territorio mexicano. </w:t>
      </w:r>
    </w:p>
    <w:p w:rsidR="00C81518" w:rsidRPr="00DA1C25" w:rsidRDefault="00C81518" w:rsidP="00C81518">
      <w:pPr>
        <w:pStyle w:val="Prrafodelista"/>
        <w:ind w:left="2130"/>
        <w:rPr>
          <w:rFonts w:asciiTheme="minorHAnsi" w:hAnsiTheme="minorHAnsi"/>
          <w:color w:val="auto"/>
          <w:sz w:val="24"/>
          <w:szCs w:val="24"/>
        </w:rPr>
      </w:pPr>
    </w:p>
    <w:p w:rsidR="00C81518" w:rsidRPr="00DA1C25" w:rsidRDefault="00C81518" w:rsidP="00C81518">
      <w:pPr>
        <w:pStyle w:val="Prrafodelista"/>
        <w:numPr>
          <w:ilvl w:val="0"/>
          <w:numId w:val="8"/>
        </w:numPr>
        <w:tabs>
          <w:tab w:val="clear" w:pos="360"/>
          <w:tab w:val="clear" w:pos="9360"/>
        </w:tabs>
        <w:spacing w:after="200" w:line="276" w:lineRule="auto"/>
        <w:jc w:val="left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Si el organismo bajo estudio es una amenaza potencial para el territorio mexicano.</w:t>
      </w:r>
    </w:p>
    <w:p w:rsidR="00C81518" w:rsidRPr="00DA1C25" w:rsidRDefault="00C81518" w:rsidP="00C81518">
      <w:pPr>
        <w:pStyle w:val="Prrafodelista"/>
        <w:rPr>
          <w:rFonts w:asciiTheme="minorHAnsi" w:hAnsiTheme="minorHAnsi"/>
          <w:color w:val="auto"/>
          <w:sz w:val="24"/>
          <w:szCs w:val="24"/>
        </w:rPr>
      </w:pPr>
    </w:p>
    <w:p w:rsidR="00C81518" w:rsidRPr="00DA1C25" w:rsidRDefault="00C81518" w:rsidP="00C81518">
      <w:pPr>
        <w:pStyle w:val="Prrafodelista"/>
        <w:numPr>
          <w:ilvl w:val="0"/>
          <w:numId w:val="8"/>
        </w:numPr>
        <w:tabs>
          <w:tab w:val="clear" w:pos="360"/>
          <w:tab w:val="clear" w:pos="9360"/>
        </w:tabs>
        <w:spacing w:after="200" w:line="276" w:lineRule="auto"/>
        <w:jc w:val="left"/>
        <w:rPr>
          <w:rFonts w:asciiTheme="minorHAnsi" w:hAnsiTheme="minorHAnsi"/>
          <w:color w:val="auto"/>
          <w:sz w:val="24"/>
          <w:szCs w:val="24"/>
        </w:rPr>
      </w:pPr>
      <w:r w:rsidRPr="00DA1C25">
        <w:rPr>
          <w:rFonts w:asciiTheme="minorHAnsi" w:hAnsiTheme="minorHAnsi"/>
          <w:color w:val="auto"/>
          <w:sz w:val="24"/>
          <w:szCs w:val="24"/>
        </w:rPr>
        <w:t>Son sitios con erradicaciones realizadas para medir su éxito e impacto.</w:t>
      </w:r>
    </w:p>
    <w:p w:rsidR="007E74D2" w:rsidRPr="00DA1C25" w:rsidRDefault="00001BF1" w:rsidP="00001BF1">
      <w:pPr>
        <w:jc w:val="both"/>
        <w:rPr>
          <w:rFonts w:eastAsia="Times New Roman" w:cs="Times New Roman"/>
          <w:sz w:val="24"/>
          <w:szCs w:val="24"/>
        </w:rPr>
      </w:pPr>
      <w:r w:rsidRPr="00DA1C25">
        <w:rPr>
          <w:rFonts w:eastAsia="Times New Roman" w:cs="Times New Roman"/>
          <w:sz w:val="24"/>
          <w:szCs w:val="24"/>
        </w:rPr>
        <w:t xml:space="preserve">Actualmente, la Gerencia de Sanidad en coordinación con el SENASICA lleva a cabo el monitoreo semanal de escarabajos </w:t>
      </w:r>
      <w:proofErr w:type="spellStart"/>
      <w:r w:rsidRPr="00DA1C25">
        <w:rPr>
          <w:rFonts w:eastAsia="Times New Roman" w:cs="Times New Roman"/>
          <w:sz w:val="24"/>
          <w:szCs w:val="24"/>
        </w:rPr>
        <w:t>ambrosiales</w:t>
      </w:r>
      <w:proofErr w:type="spellEnd"/>
      <w:r w:rsidRPr="00DA1C25">
        <w:rPr>
          <w:rFonts w:eastAsia="Times New Roman" w:cs="Times New Roman"/>
          <w:sz w:val="24"/>
          <w:szCs w:val="24"/>
        </w:rPr>
        <w:t xml:space="preserve"> en entidades federativas con alto riesgo de presencia. Para efectuar esta actividad, cada enlace operativo de sanidad registrado cuenta con herramientas tecnológicas y operativas que permiten contar con información importante para la detección oportuna de estos organismos exóticos.</w:t>
      </w:r>
      <w:r w:rsidR="006932D7">
        <w:rPr>
          <w:rFonts w:eastAsia="Times New Roman" w:cs="Times New Roman"/>
          <w:sz w:val="24"/>
          <w:szCs w:val="24"/>
        </w:rPr>
        <w:t xml:space="preserve"> El monitoreo inició en el mes de junio del año 2015 y, hasta la fecha se cuenta con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6932D7" w:rsidTr="0044760C">
        <w:tc>
          <w:tcPr>
            <w:tcW w:w="8978" w:type="dxa"/>
          </w:tcPr>
          <w:p w:rsidR="006932D7" w:rsidRDefault="006932D7" w:rsidP="00001BF1">
            <w:pPr>
              <w:rPr>
                <w:rFonts w:eastAsia="Times New Roman" w:cs="Times New Roman"/>
              </w:rPr>
            </w:pPr>
            <w:r w:rsidRPr="006932D7">
              <w:rPr>
                <w:rFonts w:eastAsia="Times New Roman" w:cs="Times New Roman"/>
                <w:noProof/>
                <w:lang w:eastAsia="es-MX"/>
              </w:rPr>
              <w:lastRenderedPageBreak/>
              <w:drawing>
                <wp:inline distT="0" distB="0" distL="0" distR="0" wp14:anchorId="75C0CD6B" wp14:editId="00957B12">
                  <wp:extent cx="5612130" cy="3166745"/>
                  <wp:effectExtent l="0" t="0" r="762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0" t="34156" r="28464" b="15859"/>
                          <a:stretch/>
                        </pic:blipFill>
                        <pic:spPr bwMode="auto">
                          <a:xfrm>
                            <a:off x="0" y="0"/>
                            <a:ext cx="5612130" cy="31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2D7" w:rsidTr="0044760C">
        <w:tc>
          <w:tcPr>
            <w:tcW w:w="8978" w:type="dxa"/>
          </w:tcPr>
          <w:p w:rsidR="006932D7" w:rsidRDefault="006932D7" w:rsidP="006932D7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Trampas activas para el monitoreo de escarabajos </w:t>
            </w:r>
            <w:proofErr w:type="spellStart"/>
            <w:r>
              <w:rPr>
                <w:rFonts w:eastAsia="Times New Roman" w:cs="Times New Roman"/>
              </w:rPr>
              <w:t>ambrosiales</w:t>
            </w:r>
            <w:proofErr w:type="spellEnd"/>
            <w:r>
              <w:rPr>
                <w:rFonts w:eastAsia="Times New Roman" w:cs="Times New Roman"/>
              </w:rPr>
              <w:t>.</w:t>
            </w:r>
            <w:r w:rsidR="0044760C">
              <w:rPr>
                <w:rFonts w:eastAsia="Times New Roman" w:cs="Times New Roman"/>
              </w:rPr>
              <w:t xml:space="preserve"> Fuente: SIRVEF.</w:t>
            </w:r>
          </w:p>
        </w:tc>
      </w:tr>
      <w:tr w:rsidR="006932D7" w:rsidTr="0044760C">
        <w:tc>
          <w:tcPr>
            <w:tcW w:w="8978" w:type="dxa"/>
          </w:tcPr>
          <w:p w:rsidR="006932D7" w:rsidRDefault="0044760C" w:rsidP="006932D7">
            <w:pPr>
              <w:jc w:val="center"/>
              <w:rPr>
                <w:rFonts w:eastAsia="Times New Roman" w:cs="Times New Roman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F3C663" wp14:editId="4F0E85C0">
                  <wp:extent cx="5544726" cy="29051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197" t="26889" r="21429" b="16871"/>
                          <a:stretch/>
                        </pic:blipFill>
                        <pic:spPr bwMode="auto">
                          <a:xfrm>
                            <a:off x="0" y="0"/>
                            <a:ext cx="5561923" cy="291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2D7" w:rsidTr="0044760C">
        <w:tc>
          <w:tcPr>
            <w:tcW w:w="8978" w:type="dxa"/>
          </w:tcPr>
          <w:p w:rsidR="006932D7" w:rsidRPr="0044760C" w:rsidRDefault="0044760C" w:rsidP="0044760C">
            <w:pPr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Datos de campo efectuados por acciones de monitoreo en trampas con atrayentes para </w:t>
            </w:r>
            <w:proofErr w:type="spellStart"/>
            <w:r>
              <w:rPr>
                <w:rFonts w:eastAsia="Times New Roman" w:cs="Times New Roman"/>
                <w:i/>
              </w:rPr>
              <w:t>Euwallacea</w:t>
            </w:r>
            <w:proofErr w:type="spellEnd"/>
            <w:r>
              <w:rPr>
                <w:rFonts w:eastAsia="Times New Roman" w:cs="Times New Roman"/>
                <w:i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sp</w:t>
            </w:r>
            <w:proofErr w:type="spellEnd"/>
            <w:r>
              <w:rPr>
                <w:rFonts w:eastAsia="Times New Roman" w:cs="Times New Roman"/>
              </w:rPr>
              <w:t xml:space="preserve">. </w:t>
            </w:r>
            <w:proofErr w:type="gramStart"/>
            <w:r>
              <w:rPr>
                <w:rFonts w:eastAsia="Times New Roman" w:cs="Times New Roman"/>
              </w:rPr>
              <w:t>y</w:t>
            </w:r>
            <w:proofErr w:type="gramEnd"/>
            <w:r>
              <w:rPr>
                <w:rFonts w:eastAsia="Times New Roman" w:cs="Times New Roman"/>
              </w:rPr>
              <w:t xml:space="preserve"> </w:t>
            </w:r>
            <w:proofErr w:type="spellStart"/>
            <w:r w:rsidRPr="0044760C">
              <w:rPr>
                <w:rFonts w:eastAsia="Times New Roman" w:cs="Times New Roman"/>
                <w:i/>
              </w:rPr>
              <w:t>Xyleborus</w:t>
            </w:r>
            <w:proofErr w:type="spellEnd"/>
            <w:r w:rsidRPr="0044760C">
              <w:rPr>
                <w:rFonts w:eastAsia="Times New Roman" w:cs="Times New Roman"/>
                <w:i/>
              </w:rPr>
              <w:t xml:space="preserve"> </w:t>
            </w:r>
            <w:proofErr w:type="spellStart"/>
            <w:r w:rsidRPr="0044760C">
              <w:rPr>
                <w:rFonts w:eastAsia="Times New Roman" w:cs="Times New Roman"/>
                <w:i/>
              </w:rPr>
              <w:t>glabratus</w:t>
            </w:r>
            <w:proofErr w:type="spellEnd"/>
            <w:r>
              <w:rPr>
                <w:rFonts w:eastAsia="Times New Roman" w:cs="Times New Roman"/>
              </w:rPr>
              <w:t>. Fuente: SIRVEF.</w:t>
            </w:r>
          </w:p>
        </w:tc>
      </w:tr>
    </w:tbl>
    <w:p w:rsidR="00B455BE" w:rsidRPr="00DA1C25" w:rsidRDefault="00B455BE" w:rsidP="00001BF1">
      <w:pPr>
        <w:rPr>
          <w:rFonts w:eastAsia="Times New Roman" w:cs="Times New Roman"/>
          <w:sz w:val="24"/>
          <w:szCs w:val="24"/>
        </w:rPr>
      </w:pPr>
    </w:p>
    <w:p w:rsidR="00B455BE" w:rsidRPr="00DA1C25" w:rsidRDefault="00B455BE" w:rsidP="00B455BE">
      <w:pPr>
        <w:rPr>
          <w:rFonts w:eastAsia="Times New Roman" w:cs="Times New Roman"/>
          <w:sz w:val="24"/>
          <w:szCs w:val="24"/>
        </w:rPr>
      </w:pPr>
      <w:bookmarkStart w:id="0" w:name="_GoBack"/>
      <w:bookmarkEnd w:id="0"/>
    </w:p>
    <w:p w:rsidR="00B455BE" w:rsidRPr="00DA1C25" w:rsidRDefault="00B455BE" w:rsidP="0039657D">
      <w:pPr>
        <w:ind w:left="708"/>
        <w:jc w:val="center"/>
        <w:rPr>
          <w:rFonts w:ascii="Soberana Sans" w:hAnsi="Soberana Sans"/>
          <w:b/>
          <w:sz w:val="26"/>
          <w:szCs w:val="26"/>
        </w:rPr>
      </w:pPr>
    </w:p>
    <w:p w:rsidR="00CC6A96" w:rsidRPr="00DA1C25" w:rsidRDefault="00CC6A96" w:rsidP="0039657D"/>
    <w:sectPr w:rsidR="00CC6A96" w:rsidRPr="00DA1C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229D"/>
    <w:multiLevelType w:val="hybridMultilevel"/>
    <w:tmpl w:val="3F226F1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8838AC"/>
    <w:multiLevelType w:val="multilevel"/>
    <w:tmpl w:val="A0F69F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309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48" w:hanging="1800"/>
      </w:pPr>
      <w:rPr>
        <w:rFonts w:hint="default"/>
      </w:rPr>
    </w:lvl>
  </w:abstractNum>
  <w:abstractNum w:abstractNumId="2">
    <w:nsid w:val="15E46F51"/>
    <w:multiLevelType w:val="hybridMultilevel"/>
    <w:tmpl w:val="68283E4A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2449392D"/>
    <w:multiLevelType w:val="hybridMultilevel"/>
    <w:tmpl w:val="50D09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263FF6"/>
    <w:multiLevelType w:val="hybridMultilevel"/>
    <w:tmpl w:val="F8E2AE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37EE3"/>
    <w:multiLevelType w:val="hybridMultilevel"/>
    <w:tmpl w:val="1C4840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2484CC6"/>
    <w:multiLevelType w:val="hybridMultilevel"/>
    <w:tmpl w:val="7188CD28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5B2322B8"/>
    <w:multiLevelType w:val="hybridMultilevel"/>
    <w:tmpl w:val="65303B1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BA293E"/>
    <w:multiLevelType w:val="hybridMultilevel"/>
    <w:tmpl w:val="036201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57D"/>
    <w:rsid w:val="00001BF1"/>
    <w:rsid w:val="00081FE4"/>
    <w:rsid w:val="00330891"/>
    <w:rsid w:val="0039657D"/>
    <w:rsid w:val="0044760C"/>
    <w:rsid w:val="0046345C"/>
    <w:rsid w:val="0048590B"/>
    <w:rsid w:val="004C1BE3"/>
    <w:rsid w:val="00504183"/>
    <w:rsid w:val="006932D7"/>
    <w:rsid w:val="007543BE"/>
    <w:rsid w:val="007E74D2"/>
    <w:rsid w:val="00964BAF"/>
    <w:rsid w:val="009929DC"/>
    <w:rsid w:val="00A25DB5"/>
    <w:rsid w:val="00B01068"/>
    <w:rsid w:val="00B455BE"/>
    <w:rsid w:val="00C35F1E"/>
    <w:rsid w:val="00C81518"/>
    <w:rsid w:val="00CC5EBD"/>
    <w:rsid w:val="00CC6A96"/>
    <w:rsid w:val="00DA1C25"/>
    <w:rsid w:val="00E16865"/>
    <w:rsid w:val="00F7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5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C5EB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Prrafodelista">
    <w:name w:val="List Paragraph"/>
    <w:aliases w:val="Figura 1"/>
    <w:basedOn w:val="Normal"/>
    <w:link w:val="PrrafodelistaCar"/>
    <w:uiPriority w:val="34"/>
    <w:qFormat/>
    <w:rsid w:val="00B455BE"/>
    <w:pPr>
      <w:tabs>
        <w:tab w:val="left" w:pos="360"/>
        <w:tab w:val="right" w:pos="9360"/>
      </w:tabs>
      <w:spacing w:after="0" w:line="240" w:lineRule="auto"/>
      <w:ind w:left="720"/>
      <w:contextualSpacing/>
      <w:jc w:val="both"/>
    </w:pPr>
    <w:rPr>
      <w:rFonts w:ascii="Soberana Sans Light" w:eastAsia="Times New Roman" w:hAnsi="Soberana Sans Light" w:cs="Times New Roman"/>
      <w:color w:val="595959" w:themeColor="text1" w:themeTint="A6"/>
      <w:szCs w:val="20"/>
    </w:rPr>
  </w:style>
  <w:style w:type="character" w:customStyle="1" w:styleId="PrrafodelistaCar">
    <w:name w:val="Párrafo de lista Car"/>
    <w:aliases w:val="Figura 1 Car"/>
    <w:basedOn w:val="Fuentedeprrafopredeter"/>
    <w:link w:val="Prrafodelista"/>
    <w:uiPriority w:val="34"/>
    <w:locked/>
    <w:rsid w:val="00081FE4"/>
    <w:rPr>
      <w:rFonts w:ascii="Soberana Sans Light" w:eastAsia="Times New Roman" w:hAnsi="Soberana Sans Light" w:cs="Times New Roman"/>
      <w:color w:val="595959" w:themeColor="text1" w:themeTint="A6"/>
      <w:szCs w:val="20"/>
    </w:rPr>
  </w:style>
  <w:style w:type="table" w:styleId="Tablaconcuadrcula">
    <w:name w:val="Table Grid"/>
    <w:basedOn w:val="Tablanormal"/>
    <w:rsid w:val="00B01068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6">
    <w:name w:val="Light List Accent 6"/>
    <w:basedOn w:val="Tablanormal"/>
    <w:uiPriority w:val="61"/>
    <w:rsid w:val="007543B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9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5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C5EB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Prrafodelista">
    <w:name w:val="List Paragraph"/>
    <w:aliases w:val="Figura 1"/>
    <w:basedOn w:val="Normal"/>
    <w:link w:val="PrrafodelistaCar"/>
    <w:uiPriority w:val="34"/>
    <w:qFormat/>
    <w:rsid w:val="00B455BE"/>
    <w:pPr>
      <w:tabs>
        <w:tab w:val="left" w:pos="360"/>
        <w:tab w:val="right" w:pos="9360"/>
      </w:tabs>
      <w:spacing w:after="0" w:line="240" w:lineRule="auto"/>
      <w:ind w:left="720"/>
      <w:contextualSpacing/>
      <w:jc w:val="both"/>
    </w:pPr>
    <w:rPr>
      <w:rFonts w:ascii="Soberana Sans Light" w:eastAsia="Times New Roman" w:hAnsi="Soberana Sans Light" w:cs="Times New Roman"/>
      <w:color w:val="595959" w:themeColor="text1" w:themeTint="A6"/>
      <w:szCs w:val="20"/>
    </w:rPr>
  </w:style>
  <w:style w:type="character" w:customStyle="1" w:styleId="PrrafodelistaCar">
    <w:name w:val="Párrafo de lista Car"/>
    <w:aliases w:val="Figura 1 Car"/>
    <w:basedOn w:val="Fuentedeprrafopredeter"/>
    <w:link w:val="Prrafodelista"/>
    <w:uiPriority w:val="34"/>
    <w:locked/>
    <w:rsid w:val="00081FE4"/>
    <w:rPr>
      <w:rFonts w:ascii="Soberana Sans Light" w:eastAsia="Times New Roman" w:hAnsi="Soberana Sans Light" w:cs="Times New Roman"/>
      <w:color w:val="595959" w:themeColor="text1" w:themeTint="A6"/>
      <w:szCs w:val="20"/>
    </w:rPr>
  </w:style>
  <w:style w:type="table" w:styleId="Tablaconcuadrcula">
    <w:name w:val="Table Grid"/>
    <w:basedOn w:val="Tablanormal"/>
    <w:rsid w:val="00B01068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6">
    <w:name w:val="Light List Accent 6"/>
    <w:basedOn w:val="Tablanormal"/>
    <w:uiPriority w:val="61"/>
    <w:rsid w:val="007543B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9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875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Tratamiento</dc:creator>
  <cp:lastModifiedBy>Mayra Margarita Valdez Lizarraga</cp:lastModifiedBy>
  <cp:revision>17</cp:revision>
  <cp:lastPrinted>2017-03-02T01:01:00Z</cp:lastPrinted>
  <dcterms:created xsi:type="dcterms:W3CDTF">2017-03-01T16:04:00Z</dcterms:created>
  <dcterms:modified xsi:type="dcterms:W3CDTF">2017-03-02T01:25:00Z</dcterms:modified>
</cp:coreProperties>
</file>